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color w:val="000000"/>
          <w:kern w:val="0"/>
          <w:sz w:val="32"/>
          <w:szCs w:val="32"/>
        </w:rPr>
      </w:pPr>
      <w:bookmarkStart w:id="0" w:name="_GoBack"/>
      <w:bookmarkEnd w:id="0"/>
      <w:r>
        <w:rPr>
          <w:rFonts w:hint="eastAsia" w:ascii="方正小标宋简体" w:hAnsi="微软雅黑" w:eastAsia="方正小标宋简体" w:cs="宋体"/>
          <w:color w:val="000000"/>
          <w:kern w:val="0"/>
          <w:sz w:val="36"/>
          <w:szCs w:val="36"/>
        </w:rPr>
        <w:t>中国石油大学（华东）研究生学业奖学金实施细则</w:t>
      </w:r>
    </w:p>
    <w:p>
      <w:pPr>
        <w:widowControl/>
        <w:shd w:val="clear" w:color="auto" w:fill="FFFFFF"/>
        <w:jc w:val="center"/>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中石大东发〔2022〕58号</w:t>
      </w:r>
    </w:p>
    <w:p>
      <w:pPr>
        <w:widowControl/>
        <w:shd w:val="clear" w:color="auto" w:fill="FFFFFF"/>
        <w:jc w:val="center"/>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第一章</w:t>
      </w:r>
      <w:r>
        <w:rPr>
          <w:rFonts w:ascii="Calibri" w:hAnsi="Calibri" w:eastAsia="黑体" w:cs="Calibri"/>
          <w:color w:val="000000"/>
          <w:kern w:val="0"/>
          <w:sz w:val="27"/>
          <w:szCs w:val="27"/>
        </w:rPr>
        <w:t xml:space="preserve"> </w:t>
      </w:r>
      <w:r>
        <w:rPr>
          <w:rFonts w:hint="eastAsia" w:ascii="黑体" w:hAnsi="黑体" w:eastAsia="黑体" w:cs="宋体"/>
          <w:color w:val="000000"/>
          <w:kern w:val="0"/>
          <w:sz w:val="27"/>
          <w:szCs w:val="27"/>
        </w:rPr>
        <w:t>总 则</w:t>
      </w:r>
    </w:p>
    <w:p>
      <w:pPr>
        <w:widowControl/>
        <w:shd w:val="clear" w:color="auto" w:fill="FFFFFF"/>
        <w:ind w:firstLine="547"/>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第一条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为激励广大研究生勤奋学习、潜心科研、勇于创新、积极进取，支持研究生顺利完成学业，根据财政部、教育部、人力资源社会保障部、退役军人部、中央军委国防动员部《学生资助资金管理办法》（财教〔</w:t>
      </w:r>
      <w:r>
        <w:rPr>
          <w:rFonts w:hint="eastAsia" w:ascii="仿宋_GB2312" w:hAnsi="微软雅黑" w:eastAsia="仿宋_GB2312" w:cs="宋体"/>
          <w:color w:val="000000"/>
          <w:kern w:val="0"/>
          <w:sz w:val="27"/>
          <w:szCs w:val="27"/>
        </w:rPr>
        <w:t>2021〕310号），结合学校实际，制定本细则。</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第二条</w:t>
      </w:r>
      <w:r>
        <w:rPr>
          <w:rFonts w:hint="eastAsia" w:ascii="仿宋_GB2312" w:hAnsi="宋体" w:eastAsia="仿宋_GB2312" w:cs="宋体"/>
          <w:color w:val="000000"/>
          <w:kern w:val="0"/>
          <w:sz w:val="27"/>
          <w:szCs w:val="27"/>
        </w:rPr>
        <w:t> 研究生学业奖学金的适用对象为非定向就业的中国籍在校全日制研究生。</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第三条</w:t>
      </w:r>
      <w:r>
        <w:rPr>
          <w:rFonts w:hint="eastAsia" w:ascii="仿宋_GB2312" w:hAnsi="宋体" w:eastAsia="仿宋_GB2312" w:cs="宋体"/>
          <w:color w:val="000000"/>
          <w:kern w:val="0"/>
          <w:sz w:val="27"/>
          <w:szCs w:val="27"/>
        </w:rPr>
        <w:t> 研究生学业奖学金统筹利用财政拨款、学校经费投入、学费收入、社会捐助等，奖励支持表现良好的研究生更好地完成学业。</w:t>
      </w:r>
    </w:p>
    <w:p>
      <w:pPr>
        <w:widowControl/>
        <w:shd w:val="clear" w:color="auto" w:fill="FFFFFF"/>
        <w:jc w:val="center"/>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 xml:space="preserve">第二章 </w:t>
      </w:r>
      <w:r>
        <w:rPr>
          <w:rFonts w:ascii="Calibri" w:hAnsi="Calibri" w:eastAsia="黑体" w:cs="Calibri"/>
          <w:color w:val="000000"/>
          <w:kern w:val="0"/>
          <w:sz w:val="27"/>
          <w:szCs w:val="27"/>
        </w:rPr>
        <w:t> </w:t>
      </w:r>
      <w:r>
        <w:rPr>
          <w:rFonts w:hint="eastAsia" w:ascii="黑体" w:hAnsi="黑体" w:eastAsia="黑体" w:cs="宋体"/>
          <w:color w:val="000000"/>
          <w:kern w:val="0"/>
          <w:sz w:val="27"/>
          <w:szCs w:val="27"/>
        </w:rPr>
        <w:t>奖励标准与基本条件</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第四条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研究生学业奖学金的奖励标准及比例见表</w:t>
      </w:r>
      <w:r>
        <w:rPr>
          <w:rFonts w:hint="eastAsia" w:ascii="仿宋_GB2312" w:hAnsi="微软雅黑" w:eastAsia="仿宋_GB2312" w:cs="宋体"/>
          <w:color w:val="000000"/>
          <w:kern w:val="0"/>
          <w:sz w:val="27"/>
          <w:szCs w:val="27"/>
        </w:rPr>
        <w:t>1，奖励比例将根据国家实际拨款情况适时调整。</w:t>
      </w:r>
    </w:p>
    <w:p>
      <w:pPr>
        <w:widowControl/>
        <w:shd w:val="clear" w:color="auto" w:fill="FFFFFF"/>
        <w:jc w:val="center"/>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表1 研究生学业奖学金标准及比例</w:t>
      </w:r>
    </w:p>
    <w:tbl>
      <w:tblPr>
        <w:tblStyle w:val="5"/>
        <w:tblW w:w="7577" w:type="dxa"/>
        <w:jc w:val="center"/>
        <w:tblLayout w:type="autofit"/>
        <w:tblCellMar>
          <w:top w:w="0" w:type="dxa"/>
          <w:left w:w="0" w:type="dxa"/>
          <w:bottom w:w="0" w:type="dxa"/>
          <w:right w:w="0" w:type="dxa"/>
        </w:tblCellMar>
      </w:tblPr>
      <w:tblGrid>
        <w:gridCol w:w="1622"/>
        <w:gridCol w:w="1665"/>
        <w:gridCol w:w="2460"/>
        <w:gridCol w:w="1830"/>
      </w:tblGrid>
      <w:tr>
        <w:tblPrEx>
          <w:tblCellMar>
            <w:top w:w="0" w:type="dxa"/>
            <w:left w:w="0" w:type="dxa"/>
            <w:bottom w:w="0" w:type="dxa"/>
            <w:right w:w="0" w:type="dxa"/>
          </w:tblCellMar>
        </w:tblPrEx>
        <w:trPr>
          <w:trHeight w:val="300" w:hRule="atLeast"/>
          <w:jc w:val="center"/>
        </w:trPr>
        <w:tc>
          <w:tcPr>
            <w:tcW w:w="16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3"/>
                <w:szCs w:val="23"/>
              </w:rPr>
              <w:t>学生类别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3"/>
                <w:szCs w:val="23"/>
              </w:rPr>
              <w:t>等级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3"/>
                <w:szCs w:val="23"/>
              </w:rPr>
              <w:t>奖励金额（元/年）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3"/>
                <w:szCs w:val="23"/>
              </w:rPr>
              <w:t>比例</w:t>
            </w:r>
          </w:p>
        </w:tc>
      </w:tr>
      <w:tr>
        <w:tblPrEx>
          <w:tblCellMar>
            <w:top w:w="0" w:type="dxa"/>
            <w:left w:w="0" w:type="dxa"/>
            <w:bottom w:w="0" w:type="dxa"/>
            <w:right w:w="0" w:type="dxa"/>
          </w:tblCellMar>
        </w:tblPrEx>
        <w:trPr>
          <w:jc w:val="center"/>
        </w:trPr>
        <w:tc>
          <w:tcPr>
            <w:tcW w:w="1622"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博士研究生</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一等</w:t>
            </w:r>
          </w:p>
        </w:tc>
        <w:tc>
          <w:tcPr>
            <w:tcW w:w="2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18000</w:t>
            </w:r>
          </w:p>
        </w:tc>
        <w:tc>
          <w:tcPr>
            <w:tcW w:w="18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10%</w:t>
            </w:r>
          </w:p>
        </w:tc>
      </w:tr>
      <w:tr>
        <w:tblPrEx>
          <w:tblCellMar>
            <w:top w:w="0" w:type="dxa"/>
            <w:left w:w="0" w:type="dxa"/>
            <w:bottom w:w="0" w:type="dxa"/>
            <w:right w:w="0" w:type="dxa"/>
          </w:tblCellMar>
        </w:tblPrEx>
        <w:trPr>
          <w:jc w:val="center"/>
        </w:trPr>
        <w:tc>
          <w:tcPr>
            <w:tcW w:w="162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二等</w:t>
            </w:r>
          </w:p>
        </w:tc>
        <w:tc>
          <w:tcPr>
            <w:tcW w:w="2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14000</w:t>
            </w:r>
          </w:p>
        </w:tc>
        <w:tc>
          <w:tcPr>
            <w:tcW w:w="18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50%</w:t>
            </w:r>
          </w:p>
        </w:tc>
      </w:tr>
      <w:tr>
        <w:tblPrEx>
          <w:tblCellMar>
            <w:top w:w="0" w:type="dxa"/>
            <w:left w:w="0" w:type="dxa"/>
            <w:bottom w:w="0" w:type="dxa"/>
            <w:right w:w="0" w:type="dxa"/>
          </w:tblCellMar>
        </w:tblPrEx>
        <w:trPr>
          <w:jc w:val="center"/>
        </w:trPr>
        <w:tc>
          <w:tcPr>
            <w:tcW w:w="162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三等</w:t>
            </w:r>
          </w:p>
        </w:tc>
        <w:tc>
          <w:tcPr>
            <w:tcW w:w="2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12000</w:t>
            </w:r>
          </w:p>
        </w:tc>
        <w:tc>
          <w:tcPr>
            <w:tcW w:w="18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40%</w:t>
            </w:r>
          </w:p>
        </w:tc>
      </w:tr>
      <w:tr>
        <w:tblPrEx>
          <w:tblCellMar>
            <w:top w:w="0" w:type="dxa"/>
            <w:left w:w="0" w:type="dxa"/>
            <w:bottom w:w="0" w:type="dxa"/>
            <w:right w:w="0" w:type="dxa"/>
          </w:tblCellMar>
        </w:tblPrEx>
        <w:trPr>
          <w:jc w:val="center"/>
        </w:trPr>
        <w:tc>
          <w:tcPr>
            <w:tcW w:w="1622"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硕士研究生</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一等</w:t>
            </w:r>
          </w:p>
        </w:tc>
        <w:tc>
          <w:tcPr>
            <w:tcW w:w="2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10000</w:t>
            </w:r>
          </w:p>
        </w:tc>
        <w:tc>
          <w:tcPr>
            <w:tcW w:w="18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20%</w:t>
            </w:r>
          </w:p>
        </w:tc>
      </w:tr>
      <w:tr>
        <w:tblPrEx>
          <w:tblCellMar>
            <w:top w:w="0" w:type="dxa"/>
            <w:left w:w="0" w:type="dxa"/>
            <w:bottom w:w="0" w:type="dxa"/>
            <w:right w:w="0" w:type="dxa"/>
          </w:tblCellMar>
        </w:tblPrEx>
        <w:trPr>
          <w:jc w:val="center"/>
        </w:trPr>
        <w:tc>
          <w:tcPr>
            <w:tcW w:w="1622"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宋体" w:hAnsi="宋体" w:eastAsia="宋体" w:cs="宋体"/>
                <w:kern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二等</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8000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50%</w:t>
            </w:r>
          </w:p>
        </w:tc>
      </w:tr>
      <w:tr>
        <w:tblPrEx>
          <w:tblCellMar>
            <w:top w:w="0" w:type="dxa"/>
            <w:left w:w="0" w:type="dxa"/>
            <w:bottom w:w="0" w:type="dxa"/>
            <w:right w:w="0" w:type="dxa"/>
          </w:tblCellMar>
        </w:tblPrEx>
        <w:trPr>
          <w:jc w:val="center"/>
        </w:trPr>
        <w:tc>
          <w:tcPr>
            <w:tcW w:w="1622"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宋体" w:hAnsi="宋体" w:eastAsia="宋体" w:cs="宋体"/>
                <w:kern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三等</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6000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jc w:val="center"/>
              <w:rPr>
                <w:rFonts w:ascii="宋体" w:hAnsi="宋体" w:eastAsia="宋体" w:cs="宋体"/>
                <w:kern w:val="0"/>
                <w:sz w:val="24"/>
                <w:szCs w:val="24"/>
              </w:rPr>
            </w:pPr>
            <w:r>
              <w:rPr>
                <w:rFonts w:hint="eastAsia" w:ascii="宋体" w:hAnsi="宋体" w:eastAsia="宋体" w:cs="宋体"/>
                <w:color w:val="000000"/>
                <w:kern w:val="0"/>
                <w:sz w:val="23"/>
                <w:szCs w:val="23"/>
              </w:rPr>
              <w:t>30%</w:t>
            </w:r>
          </w:p>
        </w:tc>
      </w:tr>
    </w:tbl>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第五条</w:t>
      </w:r>
      <w:r>
        <w:rPr>
          <w:rFonts w:hint="eastAsia" w:ascii="仿宋_GB2312" w:hAnsi="宋体" w:eastAsia="仿宋_GB2312" w:cs="宋体"/>
          <w:color w:val="000000"/>
          <w:kern w:val="0"/>
          <w:sz w:val="27"/>
          <w:szCs w:val="27"/>
        </w:rPr>
        <w:t> 研究生学业奖学金基本申请条件：</w:t>
      </w:r>
    </w:p>
    <w:p>
      <w:pPr>
        <w:widowControl/>
        <w:shd w:val="clear" w:color="auto" w:fill="FFFFFF"/>
        <w:ind w:firstLine="418"/>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（一）热爱祖国，拥护中国共产党的领导；</w:t>
      </w:r>
    </w:p>
    <w:p>
      <w:pPr>
        <w:widowControl/>
        <w:shd w:val="clear" w:color="auto" w:fill="FFFFFF"/>
        <w:ind w:firstLine="418"/>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（二）遵守宪法和法律，遵守学校的规章制度；</w:t>
      </w:r>
    </w:p>
    <w:p>
      <w:pPr>
        <w:widowControl/>
        <w:shd w:val="clear" w:color="auto" w:fill="FFFFFF"/>
        <w:ind w:firstLine="418"/>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（三）诚实守信，品学兼优；</w:t>
      </w:r>
    </w:p>
    <w:p>
      <w:pPr>
        <w:widowControl/>
        <w:shd w:val="clear" w:color="auto" w:fill="FFFFFF"/>
        <w:ind w:firstLine="418"/>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（四）积极参与科学研究和社会实践。</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第六条</w:t>
      </w:r>
      <w:r>
        <w:rPr>
          <w:rFonts w:hint="eastAsia" w:ascii="仿宋_GB2312" w:hAnsi="宋体" w:eastAsia="仿宋_GB2312" w:cs="宋体"/>
          <w:color w:val="000000"/>
          <w:kern w:val="0"/>
          <w:sz w:val="27"/>
          <w:szCs w:val="27"/>
        </w:rPr>
        <w:t> 研究生有以下情况之一者，不得参加学业奖学金评定：</w:t>
      </w:r>
    </w:p>
    <w:p>
      <w:pPr>
        <w:widowControl/>
        <w:shd w:val="clear" w:color="auto" w:fill="FFFFFF"/>
        <w:ind w:firstLine="490"/>
        <w:jc w:val="left"/>
        <w:rPr>
          <w:rFonts w:ascii="微软雅黑" w:hAnsi="微软雅黑" w:eastAsia="微软雅黑" w:cs="宋体"/>
          <w:color w:val="000000"/>
          <w:kern w:val="0"/>
          <w:sz w:val="32"/>
          <w:szCs w:val="32"/>
        </w:rPr>
      </w:pPr>
      <w:r>
        <w:rPr>
          <w:rFonts w:hint="eastAsia" w:ascii="仿宋_GB2312" w:hAnsi="宋体" w:eastAsia="仿宋_GB2312" w:cs="宋体"/>
          <w:color w:val="000000"/>
          <w:kern w:val="0"/>
          <w:sz w:val="27"/>
          <w:szCs w:val="27"/>
        </w:rPr>
        <w:t>（一）违反国家法律法规，违反校规校纪受到纪律处分者；</w:t>
      </w:r>
    </w:p>
    <w:p>
      <w:pPr>
        <w:widowControl/>
        <w:shd w:val="clear" w:color="auto" w:fill="FFFFFF"/>
        <w:ind w:firstLine="490"/>
        <w:jc w:val="left"/>
        <w:rPr>
          <w:rFonts w:ascii="微软雅黑" w:hAnsi="微软雅黑" w:eastAsia="微软雅黑" w:cs="宋体"/>
          <w:color w:val="000000"/>
          <w:kern w:val="0"/>
          <w:sz w:val="32"/>
          <w:szCs w:val="32"/>
        </w:rPr>
      </w:pPr>
      <w:r>
        <w:rPr>
          <w:rFonts w:hint="eastAsia" w:ascii="仿宋_GB2312" w:hAnsi="宋体" w:eastAsia="仿宋_GB2312" w:cs="宋体"/>
          <w:color w:val="000000"/>
          <w:kern w:val="0"/>
          <w:sz w:val="27"/>
          <w:szCs w:val="27"/>
        </w:rPr>
        <w:t>（二）有抄袭剽窃、弄虚作假等学术不端行为经查证属实者；</w:t>
      </w:r>
    </w:p>
    <w:p>
      <w:pPr>
        <w:widowControl/>
        <w:shd w:val="clear" w:color="auto" w:fill="FFFFFF"/>
        <w:ind w:firstLine="490"/>
        <w:jc w:val="left"/>
        <w:rPr>
          <w:rFonts w:ascii="微软雅黑" w:hAnsi="微软雅黑" w:eastAsia="微软雅黑" w:cs="宋体"/>
          <w:color w:val="000000"/>
          <w:kern w:val="0"/>
          <w:sz w:val="32"/>
          <w:szCs w:val="32"/>
        </w:rPr>
      </w:pPr>
      <w:r>
        <w:rPr>
          <w:rFonts w:hint="eastAsia" w:ascii="仿宋_GB2312" w:hAnsi="宋体" w:eastAsia="仿宋_GB2312" w:cs="宋体"/>
          <w:color w:val="000000"/>
          <w:kern w:val="0"/>
          <w:sz w:val="27"/>
          <w:szCs w:val="27"/>
        </w:rPr>
        <w:t>（三）在科研工作和学习实践中，造成重大责任事故及损失者；</w:t>
      </w:r>
    </w:p>
    <w:p>
      <w:pPr>
        <w:widowControl/>
        <w:shd w:val="clear" w:color="auto" w:fill="FFFFFF"/>
        <w:ind w:firstLine="490"/>
        <w:jc w:val="left"/>
        <w:rPr>
          <w:rFonts w:ascii="微软雅黑" w:hAnsi="微软雅黑" w:eastAsia="微软雅黑" w:cs="宋体"/>
          <w:color w:val="000000"/>
          <w:kern w:val="0"/>
          <w:sz w:val="32"/>
          <w:szCs w:val="32"/>
        </w:rPr>
      </w:pPr>
      <w:r>
        <w:rPr>
          <w:rFonts w:hint="eastAsia" w:ascii="仿宋_GB2312" w:hAnsi="宋体" w:eastAsia="仿宋_GB2312" w:cs="宋体"/>
          <w:color w:val="000000"/>
          <w:kern w:val="0"/>
          <w:sz w:val="27"/>
          <w:szCs w:val="27"/>
        </w:rPr>
        <w:t>（四）有学位课程考试不及格或未通过研究生中期考核者；</w:t>
      </w:r>
    </w:p>
    <w:p>
      <w:pPr>
        <w:widowControl/>
        <w:shd w:val="clear" w:color="auto" w:fill="FFFFFF"/>
        <w:ind w:firstLine="490"/>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（五）处于休学、保留学籍者；</w:t>
      </w:r>
    </w:p>
    <w:p>
      <w:pPr>
        <w:widowControl/>
        <w:shd w:val="clear" w:color="auto" w:fill="FFFFFF"/>
        <w:ind w:firstLine="490"/>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（六）其他被认定为不能授予学业奖学金的情形。</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第七条</w:t>
      </w:r>
      <w:r>
        <w:rPr>
          <w:rFonts w:hint="eastAsia" w:ascii="仿宋_GB2312" w:hAnsi="宋体" w:eastAsia="仿宋_GB2312" w:cs="宋体"/>
          <w:color w:val="000000"/>
          <w:kern w:val="0"/>
          <w:sz w:val="27"/>
          <w:szCs w:val="27"/>
        </w:rPr>
        <w:t> 直博生、硕博连读生根据当年所修课程的层次阶段确定身份参与研究生学业奖学金的评定。在选修硕士课程阶段按照硕士研究生身份参与评定，进入选修博士研究生课程阶段按照博士研究生身份参与评定。</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第八条</w:t>
      </w:r>
      <w:r>
        <w:rPr>
          <w:rFonts w:hint="eastAsia" w:ascii="仿宋_GB2312" w:hAnsi="宋体" w:eastAsia="仿宋_GB2312" w:cs="宋体"/>
          <w:color w:val="000000"/>
          <w:kern w:val="0"/>
          <w:sz w:val="27"/>
          <w:szCs w:val="27"/>
        </w:rPr>
        <w:t> 获得研究生学业奖学金奖励的研究生，符合相应条件的可以同时获得研究生国家奖学金、研究生国家助学金等其他研究生国家奖助政策以及校内其他研究生奖助政策资助。</w:t>
      </w:r>
    </w:p>
    <w:p>
      <w:pPr>
        <w:widowControl/>
        <w:shd w:val="clear" w:color="auto" w:fill="FFFFFF"/>
        <w:jc w:val="center"/>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 xml:space="preserve">第三章 </w:t>
      </w:r>
      <w:r>
        <w:rPr>
          <w:rFonts w:ascii="Calibri" w:hAnsi="Calibri" w:eastAsia="黑体" w:cs="Calibri"/>
          <w:color w:val="000000"/>
          <w:kern w:val="0"/>
          <w:sz w:val="27"/>
          <w:szCs w:val="27"/>
        </w:rPr>
        <w:t> </w:t>
      </w:r>
      <w:r>
        <w:rPr>
          <w:rFonts w:hint="eastAsia" w:ascii="黑体" w:hAnsi="黑体" w:eastAsia="黑体" w:cs="宋体"/>
          <w:color w:val="000000"/>
          <w:kern w:val="0"/>
          <w:sz w:val="27"/>
          <w:szCs w:val="27"/>
        </w:rPr>
        <w:t>评审办法</w:t>
      </w:r>
    </w:p>
    <w:p>
      <w:pPr>
        <w:widowControl/>
        <w:shd w:val="clear" w:color="auto" w:fill="FFFFFF"/>
        <w:ind w:firstLine="540" w:firstLineChars="200"/>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第九条</w:t>
      </w:r>
      <w:r>
        <w:rPr>
          <w:rFonts w:hint="eastAsia" w:ascii="仿宋_GB2312" w:hAnsi="宋体" w:eastAsia="仿宋_GB2312" w:cs="宋体"/>
          <w:color w:val="000000"/>
          <w:kern w:val="0"/>
          <w:sz w:val="27"/>
          <w:szCs w:val="27"/>
        </w:rPr>
        <w:t>研究生学业奖学金根据研究生的思想品德、学业成绩、科研成果、创新能力、社会服务和导师考核意见综合评定。</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研究生学业奖学金奖励名额按照研究生的类别和人数分配到各院（部）</w:t>
      </w:r>
      <w:r>
        <w:rPr>
          <w:rFonts w:hint="eastAsia" w:ascii="仿宋_GB2312" w:hAnsi="微软雅黑" w:eastAsia="仿宋_GB2312" w:cs="宋体"/>
          <w:color w:val="000000"/>
          <w:kern w:val="0"/>
          <w:sz w:val="27"/>
          <w:szCs w:val="27"/>
        </w:rPr>
        <w:t>,名额分配向基础学科和国家亟需的学科（专业、方向）倾斜。</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第十一条</w:t>
      </w:r>
      <w:r>
        <w:rPr>
          <w:rFonts w:hint="eastAsia" w:ascii="仿宋_GB2312" w:hAnsi="宋体" w:eastAsia="仿宋_GB2312" w:cs="宋体"/>
          <w:color w:val="000000"/>
          <w:kern w:val="0"/>
          <w:sz w:val="27"/>
          <w:szCs w:val="27"/>
        </w:rPr>
        <w:t>研究生基本学习年限：硕士研究生为</w:t>
      </w:r>
      <w:r>
        <w:rPr>
          <w:rFonts w:hint="eastAsia" w:ascii="仿宋_GB2312" w:hAnsi="微软雅黑" w:eastAsia="仿宋_GB2312" w:cs="宋体"/>
          <w:color w:val="000000"/>
          <w:kern w:val="0"/>
          <w:sz w:val="27"/>
          <w:szCs w:val="27"/>
        </w:rPr>
        <w:t>3年，博士研究生为4年，硕博连读生为4年，本科直博生为6年。超过基本学习年限的在校生不再参加研究生学业奖学金的评定。</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第十二条</w:t>
      </w:r>
      <w:r>
        <w:rPr>
          <w:rFonts w:hint="eastAsia" w:ascii="仿宋_GB2312" w:hAnsi="宋体" w:eastAsia="仿宋_GB2312" w:cs="宋体"/>
          <w:color w:val="000000"/>
          <w:kern w:val="0"/>
          <w:sz w:val="27"/>
          <w:szCs w:val="27"/>
        </w:rPr>
        <w:t>硕士研究生学业奖学金评定两次，第一次根据入学时的综合成绩评定，第二次根据中期考核等情况综合评定。</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第十三条</w:t>
      </w:r>
      <w:r>
        <w:rPr>
          <w:rFonts w:hint="eastAsia" w:ascii="仿宋_GB2312" w:hAnsi="宋体" w:eastAsia="仿宋_GB2312" w:cs="宋体"/>
          <w:color w:val="000000"/>
          <w:kern w:val="0"/>
          <w:sz w:val="27"/>
          <w:szCs w:val="27"/>
        </w:rPr>
        <w:t>博士研究生学业奖学金在入学时评定，一等奖励对象为本研一体化培养的博士研究生，二等奖励对象为直博生、硕博连读生和著名高校考入的优秀博士生，三等奖励对象为其他非定向就业博士生。</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第十四条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中途休学的研究生复学后，以休学前的标准执行。中期考核后，跟从相应年级重新评定。</w:t>
      </w:r>
    </w:p>
    <w:p>
      <w:pPr>
        <w:widowControl/>
        <w:shd w:val="clear" w:color="auto" w:fill="FFFFFF"/>
        <w:jc w:val="center"/>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 xml:space="preserve">第四章 </w:t>
      </w:r>
      <w:r>
        <w:rPr>
          <w:rFonts w:ascii="Calibri" w:hAnsi="Calibri" w:eastAsia="黑体" w:cs="Calibri"/>
          <w:color w:val="000000"/>
          <w:kern w:val="0"/>
          <w:sz w:val="27"/>
          <w:szCs w:val="27"/>
        </w:rPr>
        <w:t> </w:t>
      </w:r>
      <w:r>
        <w:rPr>
          <w:rFonts w:hint="eastAsia" w:ascii="黑体" w:hAnsi="黑体" w:eastAsia="黑体" w:cs="宋体"/>
          <w:color w:val="000000"/>
          <w:kern w:val="0"/>
          <w:sz w:val="27"/>
          <w:szCs w:val="27"/>
        </w:rPr>
        <w:t>评审组织与程序</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第十五条</w:t>
      </w:r>
      <w:r>
        <w:rPr>
          <w:rFonts w:hint="eastAsia" w:ascii="仿宋_GB2312" w:hAnsi="宋体" w:eastAsia="仿宋_GB2312" w:cs="宋体"/>
          <w:color w:val="000000"/>
          <w:kern w:val="0"/>
          <w:sz w:val="27"/>
          <w:szCs w:val="27"/>
        </w:rPr>
        <w:t>学校成立由分管校领导、党委学生工作部（武装部）、研究生院、各教学院（部）分管负责人、研究生导师代表等组成的学校研究生学业奖学金评审领导小组，负责制定学校研究生学业奖学金评审实施细则，制定名额分配方案，统筹领导、协调、监督全校的评审工作，并裁决有关申诉事项。</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第十六条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各教学院（部）成立院（部）研究生学业奖学金评审委员会，由院（部）主要负责人任主任委员，研究生导师、研究生辅导员、学生代表任委员，负责本院（部）研究生学业奖学金申请组织、初步评审等工作。</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第十七条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院（部）评审委员会确定本单位获奖学生名单后，应在院（部）内进行不少于</w:t>
      </w:r>
      <w:r>
        <w:rPr>
          <w:rFonts w:hint="eastAsia" w:ascii="仿宋_GB2312" w:hAnsi="微软雅黑" w:eastAsia="仿宋_GB2312" w:cs="宋体"/>
          <w:color w:val="000000"/>
          <w:kern w:val="0"/>
          <w:sz w:val="27"/>
          <w:szCs w:val="27"/>
        </w:rPr>
        <w:t>5个工作日的公示。公示无异议后，提交学校研究生学业奖学金评审领导小组审定，审定结果在全校范围内进行不少于5个工作日的公示。</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第十八条</w:t>
      </w:r>
      <w:r>
        <w:rPr>
          <w:rFonts w:hint="eastAsia" w:ascii="仿宋_GB2312" w:hAnsi="宋体" w:eastAsia="仿宋_GB2312" w:cs="宋体"/>
          <w:color w:val="000000"/>
          <w:kern w:val="0"/>
          <w:sz w:val="27"/>
          <w:szCs w:val="27"/>
        </w:rPr>
        <w:t>对研究生学业奖学金评审结果有异议的，可在院（部）公示阶段向所在院（部）评审委员会提出申诉，评审委员会应及时研究并予以答复。如申诉人对院（部）作出的答复仍存在异议，可在学校公示阶段向学校研究生学业奖学金评审领导小组提请裁决。</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第十九条</w:t>
      </w:r>
      <w:r>
        <w:rPr>
          <w:rFonts w:hint="eastAsia" w:ascii="仿宋_GB2312" w:hAnsi="宋体" w:eastAsia="仿宋_GB2312" w:cs="宋体"/>
          <w:color w:val="000000"/>
          <w:kern w:val="0"/>
          <w:sz w:val="27"/>
          <w:szCs w:val="27"/>
        </w:rPr>
        <w:t>研究生学业奖学金的评审工作应坚持公正、公平、公开、择优的原则，严格执行国家有关教育法规，杜绝弄虚作假</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第二十条</w:t>
      </w:r>
      <w:r>
        <w:rPr>
          <w:rFonts w:hint="eastAsia" w:ascii="仿宋_GB2312" w:hAnsi="宋体" w:eastAsia="仿宋_GB2312" w:cs="宋体"/>
          <w:color w:val="000000"/>
          <w:kern w:val="0"/>
          <w:sz w:val="27"/>
          <w:szCs w:val="27"/>
        </w:rPr>
        <w:t>各院（部）要结合本单位实际制定研究生学业奖学金实施细则，并根据细则对研究生进行考核，评定研究生学业奖学金，公示无异议后提交学校研究生学业奖学金评审领导小组审核。</w:t>
      </w:r>
    </w:p>
    <w:p>
      <w:pPr>
        <w:widowControl/>
        <w:shd w:val="clear" w:color="auto" w:fill="FFFFFF"/>
        <w:jc w:val="center"/>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 xml:space="preserve">第五章 </w:t>
      </w:r>
      <w:r>
        <w:rPr>
          <w:rFonts w:ascii="Calibri" w:hAnsi="Calibri" w:eastAsia="黑体" w:cs="Calibri"/>
          <w:color w:val="000000"/>
          <w:kern w:val="0"/>
          <w:sz w:val="27"/>
          <w:szCs w:val="27"/>
        </w:rPr>
        <w:t> </w:t>
      </w:r>
      <w:r>
        <w:rPr>
          <w:rFonts w:hint="eastAsia" w:ascii="黑体" w:hAnsi="黑体" w:eastAsia="黑体" w:cs="宋体"/>
          <w:color w:val="000000"/>
          <w:kern w:val="0"/>
          <w:sz w:val="27"/>
          <w:szCs w:val="27"/>
        </w:rPr>
        <w:t>奖学金发放</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第二十一条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研究生学业奖学金根据评定等级按学期发放。如有欠缴学费的，学校将从其奖学金中一次性扣除学费额度后发放剩余奖学金。</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第二十二条</w:t>
      </w:r>
      <w:r>
        <w:rPr>
          <w:rFonts w:hint="eastAsia" w:ascii="仿宋_GB2312" w:hAnsi="宋体" w:eastAsia="仿宋_GB2312" w:cs="宋体"/>
          <w:color w:val="000000"/>
          <w:kern w:val="0"/>
          <w:sz w:val="27"/>
          <w:szCs w:val="27"/>
        </w:rPr>
        <w:t>研究生在基本学习年限内，由于出国、疾病等原因办理保留学籍或休学等手续的，暂停对其发放研究生学业奖学金，待其恢复学籍后再行发放。</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第二十三条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研究生有以下情况之一者，停发其学业奖学金：</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（一）未按规定注册的研究生；</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（二）擅自离校时间累计达到两周者；</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（三）申请休学的研究生自批准之日的次月停发奖学金；</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（四）未经学校批准，擅自出国、出境者。</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第二十四条</w:t>
      </w:r>
      <w:r>
        <w:rPr>
          <w:rFonts w:hint="eastAsia" w:ascii="仿宋_GB2312" w:hAnsi="宋体" w:eastAsia="仿宋_GB2312" w:cs="宋体"/>
          <w:color w:val="000000"/>
          <w:kern w:val="0"/>
          <w:sz w:val="27"/>
          <w:szCs w:val="27"/>
        </w:rPr>
        <w:t>已获得学业奖学金的研究生有以下情况之一者，从查实之日起停发其学业奖学金，第二次评定时取消其申请资格：</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（一）违反国家法律法规受到处罚者；</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（二）在申请资料中，提供不实信息或隐瞒不利信息者；</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（三）考试作弊或学术不端者；</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（四）在科研工作和学习实践中,造成重大责任事故及损失者；</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仿宋_GB2312" w:hAnsi="微软雅黑" w:eastAsia="仿宋_GB2312" w:cs="宋体"/>
          <w:color w:val="000000"/>
          <w:kern w:val="0"/>
          <w:sz w:val="27"/>
          <w:szCs w:val="27"/>
        </w:rPr>
        <w:t>（五）其他违反校纪校规受纪律处分者。</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第二十五条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获准转学院（部）、转导师的研究生，其当年的学业奖学金不变。</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第二十六条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直博生、硕博连读生因个人原因申请转为硕士研究生者，自批准之日起停发其博士研究生学业奖学金，也不参与硕士阶段学业奖学金的评定。</w:t>
      </w:r>
    </w:p>
    <w:p>
      <w:pPr>
        <w:widowControl/>
        <w:shd w:val="clear" w:color="auto" w:fill="FFFFFF"/>
        <w:jc w:val="center"/>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 xml:space="preserve">第六章 </w:t>
      </w:r>
      <w:r>
        <w:rPr>
          <w:rFonts w:ascii="Calibri" w:hAnsi="Calibri" w:eastAsia="黑体" w:cs="Calibri"/>
          <w:color w:val="000000"/>
          <w:kern w:val="0"/>
          <w:sz w:val="27"/>
          <w:szCs w:val="27"/>
        </w:rPr>
        <w:t> </w:t>
      </w:r>
      <w:r>
        <w:rPr>
          <w:rFonts w:hint="eastAsia" w:ascii="黑体" w:hAnsi="黑体" w:eastAsia="黑体" w:cs="宋体"/>
          <w:color w:val="000000"/>
          <w:kern w:val="0"/>
          <w:sz w:val="27"/>
          <w:szCs w:val="27"/>
        </w:rPr>
        <w:t>附 则</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第二十七条</w:t>
      </w:r>
      <w:r>
        <w:rPr>
          <w:rFonts w:ascii="Calibri" w:hAnsi="Calibri" w:eastAsia="黑体" w:cs="Calibri"/>
          <w:color w:val="000000"/>
          <w:kern w:val="0"/>
          <w:sz w:val="27"/>
          <w:szCs w:val="27"/>
        </w:rPr>
        <w:t> </w:t>
      </w:r>
      <w:r>
        <w:rPr>
          <w:rFonts w:hint="eastAsia" w:ascii="仿宋_GB2312" w:hAnsi="宋体" w:eastAsia="仿宋_GB2312" w:cs="宋体"/>
          <w:color w:val="000000"/>
          <w:kern w:val="0"/>
          <w:sz w:val="27"/>
          <w:szCs w:val="27"/>
        </w:rPr>
        <w:t>本细则由党委学生工作部（武装部）负责解释。</w:t>
      </w:r>
    </w:p>
    <w:p>
      <w:pPr>
        <w:widowControl/>
        <w:shd w:val="clear" w:color="auto" w:fill="FFFFFF"/>
        <w:ind w:firstLine="562"/>
        <w:jc w:val="left"/>
        <w:rPr>
          <w:rFonts w:ascii="微软雅黑" w:hAnsi="微软雅黑" w:eastAsia="微软雅黑" w:cs="宋体"/>
          <w:color w:val="000000"/>
          <w:kern w:val="0"/>
          <w:sz w:val="32"/>
          <w:szCs w:val="32"/>
        </w:rPr>
      </w:pPr>
      <w:r>
        <w:rPr>
          <w:rFonts w:hint="eastAsia" w:ascii="黑体" w:hAnsi="黑体" w:eastAsia="黑体" w:cs="宋体"/>
          <w:color w:val="000000"/>
          <w:kern w:val="0"/>
          <w:sz w:val="27"/>
          <w:szCs w:val="27"/>
        </w:rPr>
        <w:t>第二十八条</w:t>
      </w:r>
      <w:r>
        <w:rPr>
          <w:rFonts w:hint="eastAsia" w:ascii="仿宋_GB2312" w:hAnsi="宋体" w:eastAsia="仿宋_GB2312" w:cs="宋体"/>
          <w:color w:val="000000"/>
          <w:kern w:val="0"/>
          <w:sz w:val="27"/>
          <w:szCs w:val="27"/>
        </w:rPr>
        <w:t> 本细则自印发之日起施行。</w:t>
      </w:r>
      <w:r>
        <w:rPr>
          <w:rFonts w:hint="eastAsia" w:ascii="仿宋_GB2312" w:hAnsi="微软雅黑" w:eastAsia="仿宋_GB2312" w:cs="宋体"/>
          <w:color w:val="000000"/>
          <w:kern w:val="0"/>
          <w:sz w:val="27"/>
          <w:szCs w:val="27"/>
        </w:rPr>
        <w:t>2013年10月29日印发的《中国石油大学（华东）研究生学业奖学金评审实施细则（试行）》（中石大东发〔2013〕75号）同时废止。</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2C"/>
    <w:rsid w:val="000C19F5"/>
    <w:rsid w:val="00317E2C"/>
    <w:rsid w:val="005C5DCD"/>
    <w:rsid w:val="006028BD"/>
    <w:rsid w:val="00631852"/>
    <w:rsid w:val="00B212F5"/>
    <w:rsid w:val="00EC347A"/>
    <w:rsid w:val="00FC24E2"/>
    <w:rsid w:val="00FC7909"/>
    <w:rsid w:val="47AA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paragraph" w:customStyle="1" w:styleId="8">
    <w:name w:val="western"/>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C136-6171-4608-8E1D-7FB1BD10ADF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379</Words>
  <Characters>2164</Characters>
  <Lines>18</Lines>
  <Paragraphs>5</Paragraphs>
  <TotalTime>7</TotalTime>
  <ScaleCrop>false</ScaleCrop>
  <LinksUpToDate>false</LinksUpToDate>
  <CharactersWithSpaces>2538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2022-10-17T07:19:00Z</dcterms:created>
  <dc:creator>Windows User</dc:creator>
  <cp:lastModifiedBy>慕寒影</cp:lastModifiedBy>
  <cp:lastPrinted>2024-05-10T01:04:01Z</cp:lastPrinted>
  <dcterms:modified xsi:type="dcterms:W3CDTF">2024-05-10T01:16:05Z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8D8A876E14664B1996FBBAD9777DA9F2_13</vt:lpwstr>
  </property>
</Properties>
</file>